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58238" w14:textId="77777777" w:rsidR="006034C2" w:rsidRPr="00030052" w:rsidRDefault="006034C2" w:rsidP="006034C2">
      <w:pPr>
        <w:widowControl w:val="0"/>
        <w:suppressAutoHyphens/>
        <w:overflowPunct w:val="0"/>
        <w:autoSpaceDE w:val="0"/>
        <w:jc w:val="both"/>
        <w:rPr>
          <w:rFonts w:eastAsia="Times New Roman" w:cs="Times New Roman"/>
          <w:kern w:val="0"/>
          <w:szCs w:val="24"/>
          <w:lang w:eastAsia="zh-CN"/>
          <w14:ligatures w14:val="none"/>
        </w:rPr>
      </w:pPr>
    </w:p>
    <w:p w14:paraId="10615365" w14:textId="77777777" w:rsidR="006034C2" w:rsidRPr="00030052" w:rsidRDefault="006034C2" w:rsidP="006034C2">
      <w:pPr>
        <w:jc w:val="right"/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  <w:t>Melléklet</w:t>
      </w:r>
    </w:p>
    <w:p w14:paraId="00C91440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  <w:t>SZÉKESFEHÉRVÁR MEGYEI JOGÚ VÁROS</w:t>
      </w:r>
    </w:p>
    <w:p w14:paraId="3D1A8476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  <w:t>ÖNKORMÁNYZAT KÖZGYŰLÉSE</w:t>
      </w:r>
    </w:p>
    <w:p w14:paraId="3D5878F6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  <w:t>SZÉKESFEHÉRVÁR, VÁROSHÁZ TÉR 1.</w:t>
      </w:r>
    </w:p>
    <w:p w14:paraId="06254F5C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  <w:t>_________________________________________</w:t>
      </w:r>
    </w:p>
    <w:p w14:paraId="606235AA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</w:pPr>
    </w:p>
    <w:p w14:paraId="4FE3BAE2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0"/>
          <w:lang w:eastAsia="hu-HU"/>
          <w14:ligatures w14:val="none"/>
        </w:rPr>
      </w:pPr>
    </w:p>
    <w:p w14:paraId="4286BD3B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bookmarkStart w:id="0" w:name="_Hlk170294931"/>
    </w:p>
    <w:p w14:paraId="46165088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Részletes pályázati kiírás</w:t>
      </w:r>
    </w:p>
    <w:p w14:paraId="611C51EA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</w:p>
    <w:p w14:paraId="167F560D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 w:val="28"/>
          <w:szCs w:val="28"/>
          <w:lang w:eastAsia="hu-HU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multifunkcionális rendezvény- és sportcsarnok</w:t>
      </w:r>
      <w:r w:rsidRPr="00030052">
        <w:rPr>
          <w:rFonts w:eastAsia="Times New Roman" w:cs="Times New Roman"/>
          <w:b/>
          <w:kern w:val="0"/>
          <w:sz w:val="28"/>
          <w:szCs w:val="28"/>
          <w:lang w:eastAsia="hu-HU"/>
          <w14:ligatures w14:val="none"/>
        </w:rPr>
        <w:t xml:space="preserve"> jelen pályázati kiírásban</w:t>
      </w:r>
    </w:p>
    <w:p w14:paraId="2E14F49C" w14:textId="77777777" w:rsidR="006034C2" w:rsidRPr="00030052" w:rsidRDefault="006034C2" w:rsidP="006034C2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hu-HU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meghatározott 3. számú VIP-boxának a részletes pályázati kiírásban meghatározott feltételek szerinti bérbeadásához</w:t>
      </w:r>
    </w:p>
    <w:p w14:paraId="74F8CDE0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 w:val="28"/>
          <w:szCs w:val="28"/>
          <w:lang w:eastAsia="hu-HU"/>
          <w14:ligatures w14:val="none"/>
        </w:rPr>
      </w:pPr>
    </w:p>
    <w:p w14:paraId="07FEF5FA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 w:val="28"/>
          <w:szCs w:val="28"/>
          <w:lang w:eastAsia="hu-HU"/>
          <w14:ligatures w14:val="none"/>
        </w:rPr>
      </w:pPr>
    </w:p>
    <w:p w14:paraId="5B2F2500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2"/>
          <w:lang w:eastAsia="hu-HU"/>
          <w14:ligatures w14:val="none"/>
        </w:rPr>
      </w:pPr>
    </w:p>
    <w:p w14:paraId="3AAB5F25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I. A pályázat tárgya:</w:t>
      </w:r>
    </w:p>
    <w:p w14:paraId="5B6DE8BB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2286230E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 Székesfehérvár belterület 14495 hrsz. alatt nyilvántartott ingatlanon (a továbbiakban: Ingatlan) lévő multifunkcionális rendezvény- és sportcsarnok 3. számú</w:t>
      </w:r>
      <w:r>
        <w:rPr>
          <w:rFonts w:eastAsia="Times New Roman" w:cs="Times New Roman"/>
          <w:kern w:val="0"/>
          <w:szCs w:val="24"/>
          <w:lang w:eastAsia="hu-HU"/>
          <w14:ligatures w14:val="none"/>
        </w:rPr>
        <w:t>, 29,1 m2 nagyságú, 26 férőhelyes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 VIP-boxa (a továbbiakban: Bérlemény). </w:t>
      </w:r>
    </w:p>
    <w:p w14:paraId="0EFB90C1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63ECE639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A Bérlemény rendeltetésének megfelelően használható. </w:t>
      </w:r>
    </w:p>
    <w:p w14:paraId="1248F5B2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1406711A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562DB834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II. Az Ingatlan részletes leírása:</w:t>
      </w:r>
    </w:p>
    <w:p w14:paraId="330080DA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355BFC7E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Ingatlan tulajdonosa: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  <w:t xml:space="preserve">Székesfehérvár Megyei Jogú Város </w:t>
      </w:r>
    </w:p>
    <w:p w14:paraId="24F24AB0" w14:textId="77777777" w:rsidR="006034C2" w:rsidRPr="00030052" w:rsidRDefault="006034C2" w:rsidP="006034C2">
      <w:pPr>
        <w:ind w:left="3540" w:firstLine="708"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Önkormányzata </w:t>
      </w:r>
    </w:p>
    <w:p w14:paraId="7E27FE67" w14:textId="77777777" w:rsidR="006034C2" w:rsidRPr="00030052" w:rsidRDefault="006034C2" w:rsidP="006034C2">
      <w:pPr>
        <w:ind w:left="3540" w:firstLine="708"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(8000 Székesfehérvár, Városház tér 1.)</w:t>
      </w:r>
    </w:p>
    <w:p w14:paraId="5F57A5A9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Ingatlan címe: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  <w:t>Székesfehérvár, Rozmaring u. 14.</w:t>
      </w:r>
    </w:p>
    <w:p w14:paraId="407B2221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Ingatlan megnevezése: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  <w:t>kivett beruházási terület</w:t>
      </w:r>
    </w:p>
    <w:p w14:paraId="4ED92EBE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Ingatlan területének nagysága: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  <w:t>70000 m</w:t>
      </w:r>
      <w:r w:rsidRPr="00030052">
        <w:rPr>
          <w:rFonts w:eastAsia="Times New Roman" w:cs="Times New Roman"/>
          <w:kern w:val="0"/>
          <w:szCs w:val="24"/>
          <w:vertAlign w:val="superscript"/>
          <w:lang w:eastAsia="hu-HU"/>
          <w14:ligatures w14:val="none"/>
        </w:rPr>
        <w:t>2</w:t>
      </w:r>
    </w:p>
    <w:p w14:paraId="7CE3184B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Az Ingatlan ingatlannyilvántartásba bejegyzett terhei: </w:t>
      </w:r>
    </w:p>
    <w:p w14:paraId="2F27FD51" w14:textId="77777777" w:rsidR="006034C2" w:rsidRPr="00030052" w:rsidRDefault="006034C2" w:rsidP="006034C2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E.ON Észak-dunántúli Áramhálózati Zártkörűen Működő Részvénytársaság (9027 Győr, Kandó K. u. 11-13.) javára 58901/4/2022.10.12. számú határozattal bejegyzett használati jog 4 m</w:t>
      </w:r>
      <w:r w:rsidRPr="00030052">
        <w:rPr>
          <w:rFonts w:eastAsia="Times New Roman" w:cs="Times New Roman"/>
          <w:kern w:val="0"/>
          <w:szCs w:val="24"/>
          <w:vertAlign w:val="superscript"/>
          <w:lang w:eastAsia="hu-HU"/>
          <w14:ligatures w14:val="none"/>
        </w:rPr>
        <w:t>2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 területre 22 kV-os földkábel és kapcsolóállomás elhelyezésére;</w:t>
      </w:r>
    </w:p>
    <w:p w14:paraId="2C2DE0DF" w14:textId="77777777" w:rsidR="006034C2" w:rsidRPr="00030052" w:rsidRDefault="006034C2" w:rsidP="006034C2">
      <w:pPr>
        <w:numPr>
          <w:ilvl w:val="0"/>
          <w:numId w:val="5"/>
        </w:numPr>
        <w:suppressAutoHyphens/>
        <w:autoSpaceDN w:val="0"/>
        <w:contextualSpacing/>
        <w:jc w:val="both"/>
        <w:textAlignment w:val="baseline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E.ON Észak-dunántúli Áramhálózati Zártkörűen Működő Részvénytársaság (9027 Győr, Kandó K. u. 11-13.) javára 58506/2/2023.12.19. számú határozattal bejegyzett vezetékjog okirat és vázrajz szerinti tartalommal, a FE/MMBO/03544-16/2023. számú határozat alapján, 604847/2023. számon záradékolt változási vázrajz alapján, Székesfehérvár AIZ 14479/6 helyrajzi számú ingatlan, Port Holding_5 villamos energia ellátása érdekében, 0.4 kV-os földkábel közcélú hálózat és biztonsági övezete által érintett 1 m</w:t>
      </w:r>
      <w:r w:rsidRPr="00030052">
        <w:rPr>
          <w:rFonts w:eastAsia="Times New Roman" w:cs="Times New Roman"/>
          <w:kern w:val="0"/>
          <w:szCs w:val="24"/>
          <w:vertAlign w:val="superscript"/>
          <w:lang w:eastAsia="hu-HU"/>
          <w14:ligatures w14:val="none"/>
        </w:rPr>
        <w:t xml:space="preserve">2 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nagyságú területre.</w:t>
      </w:r>
    </w:p>
    <w:p w14:paraId="771899AF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05CCC424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1. Az Ingatlan városon belüli elhelyezkedése:</w:t>
      </w:r>
    </w:p>
    <w:p w14:paraId="1B8D4C68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lastRenderedPageBreak/>
        <w:t xml:space="preserve">Az Ingatlan Székesfehérvár keleti részén, az Alba Ipari Zónában található, közvetlenül a Rozmaring utca mellett. </w:t>
      </w:r>
    </w:p>
    <w:p w14:paraId="16B8F585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50AFAA96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2. Az Ingatlan megközelíthetősége:</w:t>
      </w:r>
    </w:p>
    <w:p w14:paraId="7E3009F7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Ingatlan Székesfehérvár belterületén helyezkedik el, bejárata a Rozmaring utcáról van. Jól megközelíthető gépjárművel, tömegközlekedési eszközökkel a belváros felől a Budai úton, az M7 autópálya felől a 7. sz. főúton vagy a 62-es sz. főúton az Alba Ipari Zónán keresztül.</w:t>
      </w:r>
    </w:p>
    <w:p w14:paraId="13FB41E4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291B96BB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3. Az Ingatlan közműellátottsága:</w:t>
      </w:r>
    </w:p>
    <w:p w14:paraId="227241AD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Az Ingatlan összközműves: vezetékes víz, szennyvíz csatorna, és elektromos hálózat bekötésre került, valamint biztonságtechnikai berendezésekkel felszerelt. </w:t>
      </w:r>
    </w:p>
    <w:p w14:paraId="144E571A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1C703E57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4. Az Ingatlan egyéb jellemzői:</w:t>
      </w:r>
    </w:p>
    <w:p w14:paraId="1914446F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  <w:t>Az Ingatlanon található egy új építésű, sport- és egyéb rendezvények megvalósítására alkalmas multifunkcionális rendezvény- és sportcsarnok (a továbbiakban: Rendezvénycsarnok) a szükséges kapcsolódó helyiségcsoportokkal, egyéb, a multifunkcionalitást biztosító helyiségekkel, parkolóval. A létesítmény mintegy 6000 fős lelátóval rendelkezik, a küzdőtéren 2.250 fő elhelyezésére van lehetőség. A létesítményben kialakításra kerültek irodák, sportcélú helyiségek, vendéglátóipari tevékenység végzésére, és rendezvények lebonyolítására szolgáló helyiségek. A létesítmény teljes körű akadálymentesítése biztosított.</w:t>
      </w:r>
    </w:p>
    <w:p w14:paraId="39920BF9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</w:pPr>
    </w:p>
    <w:p w14:paraId="32E22B65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  <w:t>Az Ingatlan a környezettudatos és fenntartható „zöld” szempontrendszer maximális figyelembevétele mellett került létrehozásra.</w:t>
      </w:r>
    </w:p>
    <w:p w14:paraId="29A796A9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</w:pPr>
    </w:p>
    <w:p w14:paraId="1D4BAA7D" w14:textId="77777777" w:rsidR="006034C2" w:rsidRDefault="006034C2" w:rsidP="006034C2">
      <w:pPr>
        <w:jc w:val="both"/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  <w:t xml:space="preserve">Az Ingatlan üzemeltetője a Székesfehérvári Városfejlesztési Közhasznú Nonprofit Korlátolt Felelősségű Társaság (továbbiakban: Üzemeltető). </w:t>
      </w:r>
      <w:r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  <w:t>Az Ingatlanban a vendéglátóipari szolgáltatást kizárólagos joggal a Székesfehérvár Városgondnoksága Kft. (a továbbiakban: Városgondnokság Kft.) végzi.</w:t>
      </w:r>
    </w:p>
    <w:p w14:paraId="7AD82FC2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shd w:val="clear" w:color="auto" w:fill="FFFFFF"/>
          <w:lang w:eastAsia="hu-HU"/>
          <w14:ligatures w14:val="none"/>
        </w:rPr>
      </w:pPr>
    </w:p>
    <w:p w14:paraId="52AD2813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III. A bérleti jogviszony főbb tartalmi elemei, az Önkormányzat és a bérlő főbb jogai, kötelezettségei:</w:t>
      </w:r>
    </w:p>
    <w:p w14:paraId="57E751D1" w14:textId="77777777" w:rsidR="006034C2" w:rsidRPr="00030052" w:rsidRDefault="006034C2" w:rsidP="006034C2">
      <w:pPr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603AB4DC" w14:textId="77777777" w:rsidR="006034C2" w:rsidRPr="00030052" w:rsidRDefault="006034C2" w:rsidP="006034C2">
      <w:pPr>
        <w:numPr>
          <w:ilvl w:val="0"/>
          <w:numId w:val="2"/>
        </w:numPr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 bérleti jogviszony határozott időtartamú, a bérleti szerződés teljekörű aláírásának napjától 2025. július 31. napjáig jön létre.</w:t>
      </w:r>
    </w:p>
    <w:p w14:paraId="47395861" w14:textId="77777777" w:rsidR="006034C2" w:rsidRPr="00030052" w:rsidRDefault="006034C2" w:rsidP="006034C2">
      <w:pPr>
        <w:ind w:left="720"/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7E004FC2" w14:textId="77777777" w:rsidR="006034C2" w:rsidRPr="00030052" w:rsidRDefault="006034C2" w:rsidP="006034C2">
      <w:pPr>
        <w:numPr>
          <w:ilvl w:val="0"/>
          <w:numId w:val="2"/>
        </w:numPr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Az Ingatlan közcélú hasznosítása mellett sportcélokat szolgál.</w:t>
      </w:r>
    </w:p>
    <w:p w14:paraId="6D00D377" w14:textId="77777777" w:rsidR="006034C2" w:rsidRPr="00030052" w:rsidRDefault="006034C2" w:rsidP="006034C2">
      <w:pPr>
        <w:ind w:left="720"/>
        <w:contextualSpacing/>
        <w:jc w:val="center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53BD5E29" w14:textId="77777777" w:rsidR="006034C2" w:rsidRPr="00030052" w:rsidRDefault="006034C2" w:rsidP="006034C2">
      <w:pPr>
        <w:numPr>
          <w:ilvl w:val="0"/>
          <w:numId w:val="2"/>
        </w:numPr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Az Önkormányzat </w:t>
      </w:r>
    </w:p>
    <w:p w14:paraId="22D23452" w14:textId="77777777" w:rsidR="006034C2" w:rsidRPr="00030052" w:rsidRDefault="006034C2" w:rsidP="006034C2">
      <w:pPr>
        <w:numPr>
          <w:ilvl w:val="0"/>
          <w:numId w:val="1"/>
        </w:numPr>
        <w:ind w:left="1068"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biztosítja azt, hogy a Bérlemény rendeltetésszerű használatra alkalmas legyen, </w:t>
      </w:r>
    </w:p>
    <w:p w14:paraId="752DF711" w14:textId="77777777" w:rsidR="006034C2" w:rsidRPr="00030052" w:rsidRDefault="006034C2" w:rsidP="006034C2">
      <w:pPr>
        <w:numPr>
          <w:ilvl w:val="0"/>
          <w:numId w:val="1"/>
        </w:numPr>
        <w:ind w:left="1068"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biztosítja a Bérlemény műszaki üzemeltetését</w:t>
      </w:r>
      <w:r>
        <w:rPr>
          <w:rFonts w:eastAsia="Times New Roman" w:cs="Times New Roman"/>
          <w:kern w:val="0"/>
          <w:szCs w:val="24"/>
          <w:lang w:eastAsia="hu-HU"/>
          <w14:ligatures w14:val="none"/>
        </w:rPr>
        <w:t>,</w:t>
      </w:r>
    </w:p>
    <w:p w14:paraId="7F6C39BD" w14:textId="77777777" w:rsidR="006034C2" w:rsidRPr="00030052" w:rsidRDefault="006034C2" w:rsidP="006034C2">
      <w:pPr>
        <w:numPr>
          <w:ilvl w:val="0"/>
          <w:numId w:val="1"/>
        </w:numPr>
        <w:ind w:left="1068"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gondoskodik a Bérlemény takarításáról</w:t>
      </w:r>
      <w:r>
        <w:rPr>
          <w:rFonts w:eastAsia="Times New Roman" w:cs="Times New Roman"/>
          <w:kern w:val="0"/>
          <w:szCs w:val="24"/>
          <w:lang w:eastAsia="hu-HU"/>
          <w14:ligatures w14:val="none"/>
        </w:rPr>
        <w:t>,</w:t>
      </w:r>
    </w:p>
    <w:p w14:paraId="75EFFD85" w14:textId="77777777" w:rsidR="006034C2" w:rsidRPr="00030052" w:rsidRDefault="006034C2" w:rsidP="006034C2">
      <w:pPr>
        <w:numPr>
          <w:ilvl w:val="0"/>
          <w:numId w:val="1"/>
        </w:numPr>
        <w:ind w:left="1068"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biztosítja a Bérlemény Bérlője részére az Ingatlan rendezvényeire történő bejutáshoz szükséges dokumentumokat az Üzemeltető közreműködésével. </w:t>
      </w:r>
    </w:p>
    <w:p w14:paraId="12DDCCE2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</w:pPr>
    </w:p>
    <w:p w14:paraId="6209AD6D" w14:textId="77777777" w:rsidR="006034C2" w:rsidRPr="00030052" w:rsidRDefault="006034C2" w:rsidP="006034C2">
      <w:pPr>
        <w:numPr>
          <w:ilvl w:val="0"/>
          <w:numId w:val="3"/>
        </w:numPr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A Bérlő</w:t>
      </w:r>
      <w:bookmarkStart w:id="1" w:name="_Hlk150275377"/>
    </w:p>
    <w:p w14:paraId="284F18B3" w14:textId="77777777" w:rsidR="006034C2" w:rsidRPr="00030052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köteles a Bérlemény bérleti díját (a továbbiakban: Bérleti díj) megfizetni, mely Bérleti díj a Bérlemény használata során felmerülő közüzemi díjakat tartalmazza,</w:t>
      </w:r>
    </w:p>
    <w:p w14:paraId="7D73464B" w14:textId="77777777" w:rsidR="006034C2" w:rsidRPr="000542D1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542D1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köteles a Bérleti díjat két egyenlő részletben megfizetni: </w:t>
      </w:r>
    </w:p>
    <w:p w14:paraId="4A5C9F16" w14:textId="77777777" w:rsidR="006034C2" w:rsidRPr="000542D1" w:rsidRDefault="006034C2" w:rsidP="006034C2">
      <w:pPr>
        <w:ind w:left="1134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542D1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ba) az első részletet a szerződéskötést követően 15 napon belül,</w:t>
      </w:r>
    </w:p>
    <w:p w14:paraId="5E4FE1F0" w14:textId="77777777" w:rsidR="006034C2" w:rsidRPr="000542D1" w:rsidRDefault="006034C2" w:rsidP="006034C2">
      <w:pPr>
        <w:ind w:left="1134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542D1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bb) a második részletet 2024. december 31. napjáig, </w:t>
      </w:r>
      <w:bookmarkEnd w:id="1"/>
    </w:p>
    <w:p w14:paraId="399B90F3" w14:textId="77777777" w:rsidR="006034C2" w:rsidRDefault="006034C2" w:rsidP="006034C2">
      <w:pPr>
        <w:numPr>
          <w:ilvl w:val="0"/>
          <w:numId w:val="4"/>
        </w:numPr>
        <w:ind w:left="1134" w:hanging="425"/>
        <w:contextualSpacing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542D1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lastRenderedPageBreak/>
        <w:t>jogosult a Bérlemény kizárólagos használatára, mely használat a Rendezvénycsarnokban megrendezésre kerülő valamennyi nyilvános rendezvény idejére is kiterjed,</w:t>
      </w:r>
    </w:p>
    <w:p w14:paraId="20148F2C" w14:textId="77777777" w:rsidR="006034C2" w:rsidRPr="000542D1" w:rsidRDefault="006034C2" w:rsidP="006034C2">
      <w:pPr>
        <w:numPr>
          <w:ilvl w:val="0"/>
          <w:numId w:val="4"/>
        </w:numPr>
        <w:ind w:left="1134" w:hanging="425"/>
        <w:contextualSpacing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a Bérlemény használata során jogosult 3. személyeket (pl. vendégeket, stb.) a Bérleménybe meghívni,</w:t>
      </w:r>
    </w:p>
    <w:p w14:paraId="4FC55D1B" w14:textId="77777777" w:rsidR="006034C2" w:rsidRPr="000542D1" w:rsidRDefault="006034C2" w:rsidP="006034C2">
      <w:pPr>
        <w:numPr>
          <w:ilvl w:val="0"/>
          <w:numId w:val="4"/>
        </w:numPr>
        <w:ind w:left="1134" w:hanging="425"/>
        <w:contextualSpacing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542D1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köteles a Bérlemény használatát Bérbeadó, valamint Üzemeltető felé előzetesen bejelenteni</w:t>
      </w: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, </w:t>
      </w:r>
      <w:r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a Házirendet betartani,</w:t>
      </w:r>
    </w:p>
    <w:p w14:paraId="6191B1A5" w14:textId="77777777" w:rsidR="006034C2" w:rsidRPr="00030052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jogosult a Bérlemény megközelítéséhez szükséges mértékben az Ingatlanon és Rendezvénycsarnokon belüli területnek a Bérlemény megközelítése céljából történő használatára,</w:t>
      </w:r>
    </w:p>
    <w:p w14:paraId="2D58E2CE" w14:textId="77777777" w:rsidR="006034C2" w:rsidRPr="00030052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a Bérleményt albérletbe nem adhatja, </w:t>
      </w:r>
    </w:p>
    <w:p w14:paraId="4601C6D6" w14:textId="77777777" w:rsidR="006034C2" w:rsidRPr="00030052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bookmarkStart w:id="2" w:name="_Hlk150267489"/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beruházást, átalakítást kizárólag a Bérbeadó előzetes írásbeli engedélye birtokában végezhet,</w:t>
      </w:r>
    </w:p>
    <w:bookmarkEnd w:id="2"/>
    <w:p w14:paraId="4D35DCF4" w14:textId="77777777" w:rsidR="006034C2" w:rsidRPr="00030052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köteles a Bérleményt a jó gazda gondosságával, rendeltetésszerűen használni, </w:t>
      </w:r>
    </w:p>
    <w:p w14:paraId="266A54FC" w14:textId="77777777" w:rsidR="006034C2" w:rsidRPr="00B74E77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a Bérleményben általa, illetve </w:t>
      </w:r>
      <w:r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vendégei által okozott </w:t>
      </w: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kárért a polgári jog általános </w:t>
      </w:r>
      <w:r w:rsidRPr="00B74E77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szabályai szerint felelősséggel tartozik,</w:t>
      </w:r>
    </w:p>
    <w:p w14:paraId="584B00F1" w14:textId="77777777" w:rsidR="006034C2" w:rsidRPr="00B74E77" w:rsidRDefault="006034C2" w:rsidP="006034C2">
      <w:pPr>
        <w:numPr>
          <w:ilvl w:val="0"/>
          <w:numId w:val="4"/>
        </w:numPr>
        <w:ind w:left="1134" w:hanging="425"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B74E77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vendéglátóipari ellátásra vonatkozó igény esetén a Városgondnokság Kft-vel külön szerződés</w:t>
      </w:r>
      <w:r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>t</w:t>
      </w:r>
      <w:r w:rsidRPr="00B74E77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 kell kötni azzal, hogy a Bérleményben tartandó jégkorongmérkőzések alkalmával kötelező a catering szolgáltatás igénybevételére szerződést kötni.</w:t>
      </w:r>
    </w:p>
    <w:p w14:paraId="506FFCA2" w14:textId="77777777" w:rsidR="006034C2" w:rsidRPr="00030052" w:rsidRDefault="006034C2" w:rsidP="006034C2">
      <w:pPr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bookmarkStart w:id="3" w:name="_Hlk150252732"/>
    </w:p>
    <w:bookmarkEnd w:id="3"/>
    <w:p w14:paraId="733BBFF2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563F92BC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IV. A Bérlemény bérleti díja, ajánlati kötöttség:</w:t>
      </w:r>
    </w:p>
    <w:p w14:paraId="5FED1ED2" w14:textId="77777777" w:rsidR="006034C2" w:rsidRPr="00030052" w:rsidRDefault="006034C2" w:rsidP="006034C2">
      <w:pPr>
        <w:ind w:left="720"/>
        <w:contextualSpacing/>
        <w:jc w:val="both"/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</w:pPr>
    </w:p>
    <w:p w14:paraId="26C4470A" w14:textId="77777777" w:rsidR="006034C2" w:rsidRPr="00AD7F4A" w:rsidRDefault="006034C2" w:rsidP="006034C2">
      <w:pPr>
        <w:numPr>
          <w:ilvl w:val="0"/>
          <w:numId w:val="6"/>
        </w:numPr>
        <w:contextualSpacing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AD7F4A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A pályázónak egyösszegű ajánlatot kell tennie a Bérleti díjra ………. Ft + ÁFA formátumban.</w:t>
      </w:r>
    </w:p>
    <w:p w14:paraId="52E621EC" w14:textId="77777777" w:rsidR="006034C2" w:rsidRPr="00AD7F4A" w:rsidRDefault="006034C2" w:rsidP="006034C2">
      <w:pPr>
        <w:ind w:left="720"/>
        <w:contextualSpacing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</w:p>
    <w:p w14:paraId="61B04C06" w14:textId="77777777" w:rsidR="006034C2" w:rsidRPr="00030052" w:rsidRDefault="006034C2" w:rsidP="006034C2">
      <w:pPr>
        <w:numPr>
          <w:ilvl w:val="0"/>
          <w:numId w:val="6"/>
        </w:numPr>
        <w:contextualSpacing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AD7F4A">
        <w:rPr>
          <w:rFonts w:eastAsia="Times New Roman" w:cs="Times New Roman"/>
          <w:kern w:val="0"/>
          <w:szCs w:val="24"/>
          <w:lang w:eastAsia="hu-HU"/>
          <w14:ligatures w14:val="none"/>
        </w:rPr>
        <w:t>A pályázó az ajánlatához a pályázat benyújtási határidejétől számított 90 napig kötve van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.</w:t>
      </w:r>
    </w:p>
    <w:p w14:paraId="43617498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0CC2D313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292829F0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04DDB236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V. A pályázat benyújtási határideje:</w:t>
      </w:r>
      <w:r w:rsidRPr="00030052">
        <w:rPr>
          <w:rFonts w:eastAsia="Times New Roman" w:cs="Times New Roman"/>
          <w:b/>
          <w:kern w:val="0"/>
          <w:szCs w:val="24"/>
          <w:u w:val="single"/>
          <w:lang w:eastAsia="hu-HU"/>
          <w14:ligatures w14:val="none"/>
        </w:rPr>
        <w:t xml:space="preserve"> </w:t>
      </w: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ab/>
        <w:t>2024. július 18. napján 10 óra</w:t>
      </w:r>
    </w:p>
    <w:p w14:paraId="480A62CF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517D8AF2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58484765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VI. Pályázati feltétel:</w:t>
      </w:r>
    </w:p>
    <w:p w14:paraId="67E7D397" w14:textId="77777777" w:rsidR="006034C2" w:rsidRPr="00030052" w:rsidRDefault="006034C2" w:rsidP="006034C2">
      <w:pPr>
        <w:ind w:left="720"/>
        <w:contextualSpacing/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43AD4942" w14:textId="77777777" w:rsidR="006034C2" w:rsidRPr="00030052" w:rsidRDefault="006034C2" w:rsidP="006034C2">
      <w:pPr>
        <w:suppressAutoHyphens/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A pályázaton részt vehet a nemzeti vagyonról szóló 2011. évi CXCVI. törvény 3. § (1) bekezdés 1. pontjában meghatározott átlátható szervezetnek minősülő jogi személy.</w:t>
      </w:r>
    </w:p>
    <w:p w14:paraId="69E0370D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59ACD1E7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55FD5F23" w14:textId="77777777" w:rsidR="006034C2" w:rsidRPr="00030052" w:rsidRDefault="006034C2" w:rsidP="006034C2">
      <w:pPr>
        <w:tabs>
          <w:tab w:val="left" w:pos="567"/>
        </w:tabs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  <w:t xml:space="preserve">VII. </w:t>
      </w: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  <w:tab/>
        <w:t>A pályázat eredménye:</w:t>
      </w:r>
    </w:p>
    <w:p w14:paraId="7437A1D8" w14:textId="77777777" w:rsidR="006034C2" w:rsidRPr="00030052" w:rsidRDefault="006034C2" w:rsidP="006034C2">
      <w:pPr>
        <w:ind w:left="567"/>
        <w:jc w:val="center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1548DD66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Cs w:val="24"/>
          <w:lang w:eastAsia="ar-SA"/>
          <w14:ligatures w14:val="none"/>
        </w:rPr>
        <w:t xml:space="preserve">A pályázat elbírálásának szempontja: </w:t>
      </w:r>
      <w:r w:rsidRPr="00030052">
        <w:rPr>
          <w:rFonts w:eastAsia="Times New Roman" w:cs="Times New Roman"/>
          <w:b/>
          <w:bCs/>
          <w:kern w:val="0"/>
          <w:szCs w:val="24"/>
          <w:u w:val="single"/>
          <w:lang w:eastAsia="ar-SA"/>
          <w14:ligatures w14:val="none"/>
        </w:rPr>
        <w:t>megajánlott Bérleti díj összege.</w:t>
      </w:r>
      <w:r w:rsidRPr="00030052">
        <w:rPr>
          <w:rFonts w:eastAsia="Times New Roman" w:cs="Times New Roman"/>
          <w:b/>
          <w:bCs/>
          <w:kern w:val="0"/>
          <w:szCs w:val="24"/>
          <w:lang w:eastAsia="ar-SA"/>
          <w14:ligatures w14:val="none"/>
        </w:rPr>
        <w:t xml:space="preserve"> A pályázat nyertese az a pályázó, aki a legmagasabb ajánlatot tette a Bérleti díjra feltéve, ha a pályázati kiírásnak mindenben megfelel a pályázata.</w:t>
      </w:r>
    </w:p>
    <w:p w14:paraId="27624455" w14:textId="77777777" w:rsidR="006034C2" w:rsidRPr="00030052" w:rsidRDefault="006034C2" w:rsidP="006034C2">
      <w:pPr>
        <w:jc w:val="center"/>
        <w:rPr>
          <w:rFonts w:eastAsia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7FE44625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Amennyiben a legmagasabb bérleti díjra vonatkozó ajánlatot több érvényes pályázat azonosan tartalmazza, akkor licittárgyalás megtartásával, a licit során a legmagasabb bérleti díjra ajánlatot tevő pályázó a licittárgyalás nyertese.</w:t>
      </w:r>
    </w:p>
    <w:p w14:paraId="7363EE67" w14:textId="77777777" w:rsidR="006034C2" w:rsidRPr="00030052" w:rsidRDefault="006034C2" w:rsidP="006034C2">
      <w:pPr>
        <w:ind w:left="567"/>
        <w:jc w:val="center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5BBDD416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lastRenderedPageBreak/>
        <w:t>A pályázat eredményéről a döntést követő 5 napon belül kerülnek értesítésre a pályázók.</w:t>
      </w:r>
    </w:p>
    <w:p w14:paraId="1C7E34C6" w14:textId="77777777" w:rsidR="006034C2" w:rsidRPr="00030052" w:rsidRDefault="006034C2" w:rsidP="006034C2">
      <w:pPr>
        <w:ind w:left="567"/>
        <w:jc w:val="center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</w:p>
    <w:p w14:paraId="30BB4F2C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b/>
          <w:kern w:val="0"/>
          <w:szCs w:val="24"/>
          <w:lang w:eastAsia="ar-SA"/>
          <w14:ligatures w14:val="none"/>
        </w:rPr>
        <w:t xml:space="preserve">A pályázat – indokolás nélkül – </w:t>
      </w:r>
      <w:r w:rsidRPr="00030052"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  <w:t>eredménytelennek nyilvánítható.</w:t>
      </w:r>
      <w:r w:rsidRPr="00030052">
        <w:rPr>
          <w:rFonts w:eastAsia="Times New Roman" w:cs="Times New Roman"/>
          <w:b/>
          <w:kern w:val="0"/>
          <w:szCs w:val="24"/>
          <w:lang w:eastAsia="ar-SA"/>
          <w14:ligatures w14:val="none"/>
        </w:rPr>
        <w:t xml:space="preserve"> A pályázat kiírása nem jelent konkrét szerződéskötési ajánlatot.</w:t>
      </w:r>
    </w:p>
    <w:p w14:paraId="1CD90A27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</w:pPr>
    </w:p>
    <w:p w14:paraId="4D67325D" w14:textId="77777777" w:rsidR="006034C2" w:rsidRPr="00030052" w:rsidRDefault="006034C2" w:rsidP="006034C2">
      <w:pPr>
        <w:tabs>
          <w:tab w:val="left" w:pos="851"/>
          <w:tab w:val="left" w:pos="1985"/>
          <w:tab w:val="left" w:pos="2552"/>
        </w:tabs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A pályázatokat Székesfehérvár Megyei Jogú Város Önkormányzat Közgyűlése által elfogadott Székesfehérvár Megyei Jogú Város vagyonáról és a vagyona feletti tulajdonosi jogok gyakorlásáról szóló 32/2013. (VI. 28.) önkormányzati rendelet 14/A.§-a alapján a </w:t>
      </w:r>
      <w:r w:rsidRPr="00030052"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  <w:t xml:space="preserve">Városüzemeltetési Szakbizottság </w:t>
      </w:r>
      <w:r w:rsidRPr="00030052">
        <w:rPr>
          <w:rFonts w:eastAsia="Times New Roman" w:cs="Times New Roman"/>
          <w:b/>
          <w:bCs/>
          <w:kern w:val="0"/>
          <w:szCs w:val="24"/>
          <w:lang w:eastAsia="ar-SA"/>
          <w14:ligatures w14:val="none"/>
        </w:rPr>
        <w:t>a pályázati határidő lejártát követő 10 napon belül elbírálja.</w:t>
      </w: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</w:p>
    <w:p w14:paraId="0B03FC78" w14:textId="77777777" w:rsidR="006034C2" w:rsidRPr="00030052" w:rsidRDefault="006034C2" w:rsidP="006034C2">
      <w:pPr>
        <w:tabs>
          <w:tab w:val="left" w:pos="851"/>
          <w:tab w:val="left" w:pos="1985"/>
          <w:tab w:val="left" w:pos="2552"/>
        </w:tabs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32F9438A" w14:textId="77777777" w:rsidR="006034C2" w:rsidRPr="00030052" w:rsidRDefault="006034C2" w:rsidP="006034C2">
      <w:pPr>
        <w:suppressAutoHyphens/>
        <w:jc w:val="both"/>
        <w:rPr>
          <w:rFonts w:eastAsia="Times New Roman" w:cs="Times New Roman"/>
          <w:b/>
          <w:bCs/>
          <w:kern w:val="0"/>
          <w:szCs w:val="20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0"/>
          <w:lang w:eastAsia="ar-SA"/>
          <w14:ligatures w14:val="none"/>
        </w:rPr>
        <w:t xml:space="preserve">Az Önkormányzat a nyertes pályázó kiválasztását követően </w:t>
      </w:r>
      <w:r w:rsidRPr="00030052">
        <w:rPr>
          <w:rFonts w:eastAsia="Times New Roman" w:cs="Times New Roman"/>
          <w:b/>
          <w:bCs/>
          <w:kern w:val="0"/>
          <w:szCs w:val="20"/>
          <w:lang w:eastAsia="ar-SA"/>
          <w14:ligatures w14:val="none"/>
        </w:rPr>
        <w:t xml:space="preserve">10 napon belül bérleti szerződést köt a nyertes pályázóval. </w:t>
      </w:r>
    </w:p>
    <w:p w14:paraId="1FA0C499" w14:textId="77777777" w:rsidR="006034C2" w:rsidRPr="00030052" w:rsidRDefault="006034C2" w:rsidP="006034C2">
      <w:pPr>
        <w:tabs>
          <w:tab w:val="left" w:pos="851"/>
          <w:tab w:val="left" w:pos="1985"/>
          <w:tab w:val="left" w:pos="2552"/>
        </w:tabs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75A2F5A6" w14:textId="77777777" w:rsidR="006034C2" w:rsidRPr="00030052" w:rsidRDefault="006034C2" w:rsidP="006034C2">
      <w:pPr>
        <w:tabs>
          <w:tab w:val="left" w:pos="851"/>
          <w:tab w:val="left" w:pos="1985"/>
          <w:tab w:val="left" w:pos="2552"/>
        </w:tabs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A pályázat elbírálásának határidejét egy alkalommal, legfeljebb 30 nappal a pályázat kiírója meghosszabbíthatja, erről a pályázókat értesíteni kell.</w:t>
      </w:r>
    </w:p>
    <w:p w14:paraId="07B6D9DE" w14:textId="77777777" w:rsidR="006034C2" w:rsidRPr="00030052" w:rsidRDefault="006034C2" w:rsidP="006034C2">
      <w:pPr>
        <w:tabs>
          <w:tab w:val="left" w:pos="851"/>
          <w:tab w:val="left" w:pos="1985"/>
          <w:tab w:val="left" w:pos="2552"/>
        </w:tabs>
        <w:jc w:val="both"/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</w:pPr>
    </w:p>
    <w:p w14:paraId="0CD0D72B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</w:pPr>
    </w:p>
    <w:p w14:paraId="42DB44F8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ar-SA"/>
          <w14:ligatures w14:val="none"/>
        </w:rPr>
        <w:t>VIII. A pályázatra vonatkozó előírások:</w:t>
      </w:r>
    </w:p>
    <w:p w14:paraId="70F1A858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01D43866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Cs w:val="24"/>
          <w:lang w:eastAsia="ar-SA"/>
          <w14:ligatures w14:val="none"/>
        </w:rPr>
        <w:t>A pályázat, valamint a becsatolt mellékletek minden oldalát aláírással kell ellátni.</w:t>
      </w:r>
    </w:p>
    <w:p w14:paraId="4584616B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A pályázathoz a következő iratok együttes benyújtása szükséges</w:t>
      </w:r>
      <w:bookmarkStart w:id="4" w:name="_Hlk149068088"/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:</w:t>
      </w:r>
      <w:bookmarkEnd w:id="4"/>
    </w:p>
    <w:p w14:paraId="029A20D7" w14:textId="77777777" w:rsidR="006034C2" w:rsidRPr="00AD0C29" w:rsidRDefault="006034C2" w:rsidP="006034C2">
      <w:pPr>
        <w:pStyle w:val="Listaszerbekezds"/>
        <w:numPr>
          <w:ilvl w:val="0"/>
          <w:numId w:val="9"/>
        </w:numPr>
        <w:suppressAutoHyphens/>
        <w:rPr>
          <w:rFonts w:eastAsia="Calibri" w:cs="Times New Roman"/>
          <w:kern w:val="0"/>
          <w:szCs w:val="24"/>
          <w:lang w:eastAsia="hu-HU"/>
          <w14:ligatures w14:val="none"/>
        </w:rPr>
      </w:pPr>
      <w:r w:rsidRPr="00AD0C29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kitöltött pályázati adatlap, melyen </w:t>
      </w:r>
    </w:p>
    <w:p w14:paraId="6DEA8FDA" w14:textId="77777777" w:rsidR="006034C2" w:rsidRPr="00030052" w:rsidRDefault="006034C2" w:rsidP="006034C2">
      <w:pPr>
        <w:numPr>
          <w:ilvl w:val="0"/>
          <w:numId w:val="8"/>
        </w:numPr>
        <w:suppressAutoHyphens/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egyértelműen megjelölésre kerül a bérleti jogviszony kezdetétől 2025. július 31. napjáig tartó időszakra vonatkozó Bérleti díjra tett ajánlat </w:t>
      </w:r>
      <w:r>
        <w:rPr>
          <w:rFonts w:eastAsia="Times New Roman" w:cs="Times New Roman"/>
          <w:kern w:val="0"/>
          <w:szCs w:val="24"/>
          <w:lang w:eastAsia="hu-HU"/>
          <w14:ligatures w14:val="none"/>
        </w:rPr>
        <w:t>…. Ft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 + ÁFA formátumban,</w:t>
      </w:r>
    </w:p>
    <w:p w14:paraId="5A9D7D6E" w14:textId="77777777" w:rsidR="006034C2" w:rsidRPr="00030052" w:rsidRDefault="006034C2" w:rsidP="006034C2">
      <w:pPr>
        <w:numPr>
          <w:ilvl w:val="0"/>
          <w:numId w:val="8"/>
        </w:numPr>
        <w:suppressAutoHyphens/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nyilatkozni szükséges arról, hogy a pályázó megismerte a pályázati kiírást, és azt elfogadja,</w:t>
      </w:r>
    </w:p>
    <w:p w14:paraId="66E1D0A1" w14:textId="77777777" w:rsidR="006034C2" w:rsidRPr="00030052" w:rsidRDefault="006034C2" w:rsidP="006034C2">
      <w:pPr>
        <w:numPr>
          <w:ilvl w:val="0"/>
          <w:numId w:val="8"/>
        </w:numPr>
        <w:suppressAutoHyphens/>
        <w:contextualSpacing/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nyilatkozni szükséges arról, hogy az Ingatlant, a Bérleményt mind a valóságban, mind a térképen megismerte,</w:t>
      </w:r>
    </w:p>
    <w:p w14:paraId="000DB15F" w14:textId="77777777" w:rsidR="006034C2" w:rsidRPr="00AD0C29" w:rsidRDefault="006034C2" w:rsidP="006034C2">
      <w:pPr>
        <w:pStyle w:val="Listaszerbekezds"/>
        <w:numPr>
          <w:ilvl w:val="0"/>
          <w:numId w:val="9"/>
        </w:numPr>
        <w:suppressAutoHyphens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AD0C29">
        <w:rPr>
          <w:rFonts w:eastAsia="Times New Roman" w:cs="Times New Roman"/>
          <w:kern w:val="0"/>
          <w:szCs w:val="24"/>
          <w:lang w:eastAsia="ar-SA"/>
          <w14:ligatures w14:val="none"/>
        </w:rPr>
        <w:t>csatolandó továbbá:</w:t>
      </w:r>
    </w:p>
    <w:p w14:paraId="285A26CF" w14:textId="77777777" w:rsidR="006034C2" w:rsidRPr="00030052" w:rsidRDefault="006034C2" w:rsidP="006034C2">
      <w:pPr>
        <w:numPr>
          <w:ilvl w:val="0"/>
          <w:numId w:val="7"/>
        </w:numPr>
        <w:suppressAutoHyphens/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nyilatkozat, miszerint a pályázó a nemzeti vagyonról szóló 2011. évi CXCVI. törvény szerint átlátható szervezetnek minősül,</w:t>
      </w:r>
    </w:p>
    <w:p w14:paraId="258FADDE" w14:textId="77777777" w:rsidR="006034C2" w:rsidRPr="00030052" w:rsidRDefault="006034C2" w:rsidP="006034C2">
      <w:pPr>
        <w:numPr>
          <w:ilvl w:val="0"/>
          <w:numId w:val="7"/>
        </w:numPr>
        <w:suppressAutoHyphens/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közjegyző által hitelesített aláírási címpéldány vagy ügyvéd által ellenjegyzett aláírás-minta másolata.</w:t>
      </w:r>
    </w:p>
    <w:p w14:paraId="140DD686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71EB80FC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72C02720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u w:val="single"/>
          <w:lang w:eastAsia="hu-HU"/>
          <w14:ligatures w14:val="none"/>
        </w:rPr>
        <w:t>IX. Egyéb információk:</w:t>
      </w:r>
    </w:p>
    <w:p w14:paraId="50A9DFE6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1FFF5C57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 kiíró legkésőbb a pályázat benyújtási határidejét megelőző 3. napig – a pályázat benyújtása határidejének legalább 15 nappal történő meghosszabbítása mellett - jogosult a pályázati feltételeket megváltoztatni.</w:t>
      </w:r>
    </w:p>
    <w:p w14:paraId="22862AA8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101F3997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Hiánypótlási lehetőség nincs. Amennyiben a pályázat nem felel meg a részletes pályázati kiírásban rögzített érvényességi feltételeknek, úgy a pályázat érvénytelen.</w:t>
      </w:r>
    </w:p>
    <w:p w14:paraId="18F0FF12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70760544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Amennyiben a pályázat olyan adatot tartalmaz, amelynek közérdekű adatigénylés teljesítése során történő kiadása az üzleti tevékenysége végzése szempontjából aránytalan sérelmet okozna a pályázónak, akkor ezt a tényt – a sérelmet okozó adat, illetve a sérelem okának pontos megjelölésével – a pályázatban írásban jelezni kell. Ennek hiányában úgy tekintjük, hogy a </w:t>
      </w: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lastRenderedPageBreak/>
        <w:t xml:space="preserve">pályázat nem tartalmaz olyan adatot, amelynek közérdekű adatigénylés teljesítése során történő kiadása üzleti tevékenysége végzése szempontjából aránytalan sérelmet okozna. </w:t>
      </w:r>
    </w:p>
    <w:p w14:paraId="7AB4F697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0B64E67C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A pályázattal kapcsolatosan felmerülő kérdésekre felvilágosítást Székesfehérvár Megyei Jogú Város Polgármesteri Hivatal Jogi Főosztály Jogi Irodáján lehet kérni telefonon (22/537-640), személyesen érdeklődés esetén ügyfélfogadási időben: hétfőtől csütörtökig 8-16 óra, pénteken 8-12 óra között, I. emelet 140. számú irodában.</w:t>
      </w:r>
    </w:p>
    <w:p w14:paraId="38EADE9E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256B1663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2024. július 10. napján 10 órai kezdettel az Ingatlanon helyszíni bejárás lehetőségét biztosítjuk.</w:t>
      </w:r>
    </w:p>
    <w:p w14:paraId="18469647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66FFF21D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A pályázat dupla sértetlen borítékban adható le Székesfehérvár Megyei Jogú Város Polgármesteri Hivatal, Jogi Főosztály Jogi Irodáján (Székesfehérvár, Városház tér 1., I. emelet 140. számú irodájában) </w:t>
      </w:r>
      <w:r w:rsidRPr="00030052">
        <w:rPr>
          <w:rFonts w:eastAsia="Times New Roman" w:cs="Times New Roman"/>
          <w:b/>
          <w:kern w:val="0"/>
          <w:szCs w:val="24"/>
          <w:u w:val="single"/>
          <w:lang w:eastAsia="hu-HU"/>
          <w14:ligatures w14:val="none"/>
        </w:rPr>
        <w:t>személyesen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 munkaidőben hétfőtől csütörtökig 8-16 óra, pénteken 8-12 óra között.</w:t>
      </w:r>
    </w:p>
    <w:p w14:paraId="03F837F4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648730F4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A borítékra kérjük ráírni:</w:t>
      </w:r>
    </w:p>
    <w:p w14:paraId="316DEC04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</w:p>
    <w:p w14:paraId="61041417" w14:textId="77777777" w:rsidR="006034C2" w:rsidRPr="00030052" w:rsidRDefault="006034C2" w:rsidP="006034C2">
      <w:pPr>
        <w:jc w:val="both"/>
        <w:rPr>
          <w:rFonts w:eastAsia="Times New Roman" w:cs="Times New Roman"/>
          <w:b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 xml:space="preserve">„Pályázat a </w:t>
      </w:r>
      <w:r w:rsidRPr="00030052"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  <w:t>multifunkcionális rendezvény- és sportcsarnok</w:t>
      </w: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 xml:space="preserve"> </w:t>
      </w:r>
      <w:r w:rsidRPr="00030052">
        <w:rPr>
          <w:rFonts w:eastAsia="Times New Roman" w:cs="Times New Roman"/>
          <w:b/>
          <w:bCs/>
          <w:kern w:val="0"/>
          <w:szCs w:val="24"/>
          <w:lang w:eastAsia="hu-HU"/>
          <w14:ligatures w14:val="none"/>
        </w:rPr>
        <w:t xml:space="preserve">3. számú VIP-boxának </w:t>
      </w: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bérbevételére”</w:t>
      </w:r>
    </w:p>
    <w:p w14:paraId="7483B0DC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7B24E772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Székesfehérvár, 2024. június 28.</w:t>
      </w:r>
    </w:p>
    <w:p w14:paraId="51D0069C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349A74CD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247FA60E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  <w:t>Székesfehérvár Megyei Jogú Város</w:t>
      </w:r>
    </w:p>
    <w:p w14:paraId="501228CC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ab/>
        <w:t>Önkormányzat Közgyűlése</w:t>
      </w:r>
    </w:p>
    <w:p w14:paraId="63B3FF69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0B5A4F2A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229BC6F1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</w:p>
    <w:p w14:paraId="4D2BC65E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>
        <w:rPr>
          <w:rFonts w:eastAsia="Times New Roman" w:cs="Times New Roman"/>
          <w:kern w:val="0"/>
          <w:szCs w:val="24"/>
          <w:lang w:eastAsia="hu-HU"/>
          <w14:ligatures w14:val="none"/>
        </w:rPr>
        <w:t>1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>. melléklet: Bérlemény elhelyezkedését bemutató helyszínrajz</w:t>
      </w:r>
    </w:p>
    <w:p w14:paraId="2365F48B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hu-HU"/>
          <w14:ligatures w14:val="none"/>
        </w:rPr>
      </w:pPr>
      <w:r>
        <w:rPr>
          <w:rFonts w:eastAsia="Times New Roman" w:cs="Times New Roman"/>
          <w:kern w:val="0"/>
          <w:szCs w:val="24"/>
          <w:lang w:eastAsia="hu-HU"/>
          <w14:ligatures w14:val="none"/>
        </w:rPr>
        <w:t>2.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t xml:space="preserve"> melléklet: Pályázati adatlap</w:t>
      </w:r>
      <w:r w:rsidRPr="00030052">
        <w:rPr>
          <w:rFonts w:eastAsia="Times New Roman" w:cs="Times New Roman"/>
          <w:kern w:val="0"/>
          <w:szCs w:val="24"/>
          <w:lang w:eastAsia="hu-HU"/>
          <w14:ligatures w14:val="none"/>
        </w:rPr>
        <w:br w:type="page"/>
      </w:r>
    </w:p>
    <w:bookmarkEnd w:id="0"/>
    <w:p w14:paraId="19633DA8" w14:textId="77777777" w:rsidR="006034C2" w:rsidRPr="00030052" w:rsidRDefault="006034C2" w:rsidP="006034C2">
      <w:pPr>
        <w:rPr>
          <w:rFonts w:eastAsia="Times New Roman" w:cs="Times New Roman"/>
          <w:b/>
          <w:iCs/>
          <w:smallCaps/>
          <w:kern w:val="0"/>
          <w:szCs w:val="24"/>
          <w:u w:val="single"/>
          <w:lang w:eastAsia="hu-HU"/>
          <w14:ligatures w14:val="none"/>
        </w:rPr>
      </w:pPr>
    </w:p>
    <w:p w14:paraId="0F41229C" w14:textId="77777777" w:rsidR="006034C2" w:rsidRPr="00030052" w:rsidRDefault="006034C2" w:rsidP="006034C2">
      <w:pPr>
        <w:rPr>
          <w:rFonts w:eastAsia="Times New Roman" w:cs="Times New Roman"/>
          <w:b/>
          <w:iCs/>
          <w:smallCaps/>
          <w:kern w:val="0"/>
          <w:szCs w:val="24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iCs/>
          <w:smallCaps/>
          <w:kern w:val="0"/>
          <w:szCs w:val="24"/>
          <w:u w:val="single"/>
          <w:lang w:eastAsia="hu-HU"/>
          <w14:ligatures w14:val="none"/>
        </w:rPr>
        <w:t xml:space="preserve">PÁLYÁZATI FELHÍVÁS </w:t>
      </w:r>
      <w:r>
        <w:rPr>
          <w:rFonts w:eastAsia="Times New Roman" w:cs="Times New Roman"/>
          <w:b/>
          <w:iCs/>
          <w:smallCaps/>
          <w:kern w:val="0"/>
          <w:szCs w:val="24"/>
          <w:u w:val="single"/>
          <w:lang w:eastAsia="hu-HU"/>
          <w14:ligatures w14:val="none"/>
        </w:rPr>
        <w:t>2</w:t>
      </w:r>
      <w:r w:rsidRPr="00030052">
        <w:rPr>
          <w:rFonts w:eastAsia="Times New Roman" w:cs="Times New Roman"/>
          <w:b/>
          <w:iCs/>
          <w:smallCaps/>
          <w:kern w:val="0"/>
          <w:szCs w:val="24"/>
          <w:u w:val="single"/>
          <w:lang w:eastAsia="hu-HU"/>
          <w14:ligatures w14:val="none"/>
        </w:rPr>
        <w:t xml:space="preserve">. MELLÉKLETE: </w:t>
      </w:r>
    </w:p>
    <w:p w14:paraId="50D98693" w14:textId="77777777" w:rsidR="006034C2" w:rsidRPr="00030052" w:rsidRDefault="006034C2" w:rsidP="006034C2">
      <w:pPr>
        <w:ind w:left="4248" w:firstLine="5"/>
        <w:jc w:val="center"/>
        <w:rPr>
          <w:rFonts w:eastAsia="Times New Roman" w:cs="Times New Roman"/>
          <w:b/>
          <w:iCs/>
          <w:smallCaps/>
          <w:kern w:val="0"/>
          <w:szCs w:val="24"/>
          <w:u w:val="single"/>
          <w:lang w:eastAsia="hu-HU"/>
          <w14:ligatures w14:val="none"/>
        </w:rPr>
      </w:pPr>
    </w:p>
    <w:p w14:paraId="440C8F51" w14:textId="77777777" w:rsidR="006034C2" w:rsidRPr="00030052" w:rsidRDefault="006034C2" w:rsidP="006034C2">
      <w:pPr>
        <w:ind w:left="4248" w:firstLine="5"/>
        <w:jc w:val="center"/>
        <w:rPr>
          <w:rFonts w:eastAsia="Times New Roman" w:cs="Times New Roman"/>
          <w:b/>
          <w:iCs/>
          <w:smallCaps/>
          <w:kern w:val="0"/>
          <w:szCs w:val="24"/>
          <w:u w:val="single"/>
          <w:lang w:eastAsia="hu-HU"/>
          <w14:ligatures w14:val="none"/>
        </w:rPr>
      </w:pPr>
    </w:p>
    <w:p w14:paraId="30E2EF11" w14:textId="77777777" w:rsidR="006034C2" w:rsidRPr="00030052" w:rsidRDefault="006034C2" w:rsidP="006034C2">
      <w:pPr>
        <w:jc w:val="center"/>
        <w:rPr>
          <w:rFonts w:eastAsia="Times New Roman" w:cs="Times New Roman"/>
          <w:b/>
          <w:iCs/>
          <w:smallCaps/>
          <w:kern w:val="0"/>
          <w:sz w:val="28"/>
          <w:szCs w:val="28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iCs/>
          <w:smallCaps/>
          <w:kern w:val="0"/>
          <w:sz w:val="28"/>
          <w:szCs w:val="28"/>
          <w:u w:val="single"/>
          <w:lang w:eastAsia="hu-HU"/>
          <w14:ligatures w14:val="none"/>
        </w:rPr>
        <w:t>Pályázati adatlap</w:t>
      </w:r>
    </w:p>
    <w:p w14:paraId="0CFA3473" w14:textId="77777777" w:rsidR="006034C2" w:rsidRPr="00030052" w:rsidRDefault="006034C2" w:rsidP="006034C2">
      <w:pPr>
        <w:jc w:val="center"/>
        <w:rPr>
          <w:rFonts w:eastAsia="Times New Roman" w:cs="Times New Roman"/>
          <w:b/>
          <w:kern w:val="0"/>
          <w:sz w:val="28"/>
          <w:szCs w:val="28"/>
          <w:lang w:eastAsia="hu-HU"/>
          <w14:ligatures w14:val="none"/>
        </w:rPr>
      </w:pPr>
      <w:r w:rsidRPr="00030052">
        <w:rPr>
          <w:rFonts w:eastAsia="Times New Roman" w:cs="Times New Roman"/>
          <w:b/>
          <w:kern w:val="0"/>
          <w:sz w:val="28"/>
          <w:szCs w:val="28"/>
          <w:lang w:eastAsia="hu-HU"/>
          <w14:ligatures w14:val="none"/>
        </w:rPr>
        <w:t>a székesfehérvári multifunkcionális rendezvény- és sportcsarnok 3. számú VIP-boxának</w:t>
      </w:r>
      <w:r w:rsidRPr="00030052">
        <w:rPr>
          <w:rFonts w:eastAsia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bérbeadásához</w:t>
      </w:r>
      <w:r w:rsidRPr="00030052">
        <w:rPr>
          <w:rFonts w:eastAsia="Times New Roman" w:cs="Times New Roman"/>
          <w:b/>
          <w:kern w:val="0"/>
          <w:sz w:val="28"/>
          <w:szCs w:val="28"/>
          <w:lang w:eastAsia="hu-HU"/>
          <w14:ligatures w14:val="none"/>
        </w:rPr>
        <w:t xml:space="preserve"> </w:t>
      </w:r>
    </w:p>
    <w:p w14:paraId="75BAC803" w14:textId="77777777" w:rsidR="006034C2" w:rsidRPr="00030052" w:rsidRDefault="006034C2" w:rsidP="006034C2">
      <w:pPr>
        <w:tabs>
          <w:tab w:val="right" w:leader="dot" w:pos="10065"/>
        </w:tabs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</w:p>
    <w:p w14:paraId="199809B0" w14:textId="77777777" w:rsidR="006034C2" w:rsidRPr="00030052" w:rsidRDefault="006034C2" w:rsidP="006034C2">
      <w:pPr>
        <w:tabs>
          <w:tab w:val="right" w:leader="dot" w:pos="10065"/>
        </w:tabs>
        <w:spacing w:before="120"/>
        <w:jc w:val="both"/>
        <w:rPr>
          <w:rFonts w:eastAsia="Times New Roman" w:cs="Times New Roman"/>
          <w:b/>
          <w:iCs/>
          <w:kern w:val="0"/>
          <w:szCs w:val="24"/>
          <w:u w:val="single"/>
          <w:lang w:eastAsia="hu-HU"/>
          <w14:ligatures w14:val="none"/>
        </w:rPr>
      </w:pPr>
      <w:r w:rsidRPr="00030052">
        <w:rPr>
          <w:rFonts w:eastAsia="Times New Roman" w:cs="Times New Roman"/>
          <w:b/>
          <w:iCs/>
          <w:kern w:val="0"/>
          <w:szCs w:val="24"/>
          <w:u w:val="single"/>
          <w:lang w:eastAsia="hu-HU"/>
          <w14:ligatures w14:val="none"/>
        </w:rPr>
        <w:t>Pályázó</w:t>
      </w:r>
    </w:p>
    <w:p w14:paraId="78B85C4E" w14:textId="77777777" w:rsidR="006034C2" w:rsidRPr="00030052" w:rsidRDefault="006034C2" w:rsidP="006034C2">
      <w:pPr>
        <w:tabs>
          <w:tab w:val="right" w:leader="dot" w:pos="10065"/>
        </w:tabs>
        <w:spacing w:line="360" w:lineRule="auto"/>
        <w:ind w:left="284"/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</w:p>
    <w:p w14:paraId="53BA2574" w14:textId="77777777" w:rsidR="006034C2" w:rsidRPr="00030052" w:rsidRDefault="006034C2" w:rsidP="006034C2">
      <w:pPr>
        <w:tabs>
          <w:tab w:val="right" w:leader="dot" w:pos="10065"/>
        </w:tabs>
        <w:spacing w:line="360" w:lineRule="auto"/>
        <w:ind w:left="284" w:hanging="284"/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>neve:</w:t>
      </w: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ab/>
      </w:r>
    </w:p>
    <w:p w14:paraId="273BBC91" w14:textId="77777777" w:rsidR="006034C2" w:rsidRPr="00030052" w:rsidRDefault="006034C2" w:rsidP="006034C2">
      <w:pPr>
        <w:tabs>
          <w:tab w:val="right" w:leader="dot" w:pos="10065"/>
        </w:tabs>
        <w:spacing w:line="360" w:lineRule="auto"/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>…………………………………………………………………………………………………...székhelye:</w:t>
      </w: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ab/>
      </w:r>
    </w:p>
    <w:p w14:paraId="39BDCFF5" w14:textId="77777777" w:rsidR="006034C2" w:rsidRPr="00030052" w:rsidRDefault="006034C2" w:rsidP="006034C2">
      <w:pPr>
        <w:tabs>
          <w:tab w:val="right" w:leader="dot" w:pos="10065"/>
        </w:tabs>
        <w:spacing w:line="360" w:lineRule="auto"/>
        <w:ind w:left="284" w:hanging="284"/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>adószáma:</w:t>
      </w: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ab/>
      </w:r>
    </w:p>
    <w:p w14:paraId="41DFB635" w14:textId="77777777" w:rsidR="006034C2" w:rsidRPr="00030052" w:rsidRDefault="006034C2" w:rsidP="006034C2">
      <w:pPr>
        <w:tabs>
          <w:tab w:val="right" w:leader="dot" w:pos="10065"/>
        </w:tabs>
        <w:spacing w:line="360" w:lineRule="auto"/>
        <w:ind w:left="284" w:hanging="284"/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>cégjegyzék/nyilvántartási száma:</w:t>
      </w: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ab/>
      </w:r>
    </w:p>
    <w:p w14:paraId="3E5DDEAE" w14:textId="77777777" w:rsidR="006034C2" w:rsidRPr="00030052" w:rsidRDefault="006034C2" w:rsidP="006034C2">
      <w:pPr>
        <w:tabs>
          <w:tab w:val="right" w:leader="dot" w:pos="10065"/>
        </w:tabs>
        <w:spacing w:line="360" w:lineRule="auto"/>
        <w:ind w:left="284" w:hanging="284"/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 xml:space="preserve">képviseletére jogosult személy: </w:t>
      </w: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ab/>
      </w:r>
    </w:p>
    <w:p w14:paraId="3234815E" w14:textId="77777777" w:rsidR="006034C2" w:rsidRPr="00030052" w:rsidRDefault="006034C2" w:rsidP="006034C2">
      <w:pPr>
        <w:tabs>
          <w:tab w:val="right" w:leader="dot" w:pos="10065"/>
        </w:tabs>
        <w:spacing w:line="360" w:lineRule="auto"/>
        <w:ind w:left="284" w:hanging="284"/>
        <w:jc w:val="center"/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 xml:space="preserve">telefonszáma: </w:t>
      </w:r>
      <w:r w:rsidRPr="00030052">
        <w:rPr>
          <w:rFonts w:eastAsia="Times New Roman" w:cs="Times New Roman"/>
          <w:bCs/>
          <w:iCs/>
          <w:kern w:val="0"/>
          <w:szCs w:val="24"/>
          <w:lang w:eastAsia="hu-HU"/>
          <w14:ligatures w14:val="none"/>
        </w:rPr>
        <w:tab/>
      </w:r>
    </w:p>
    <w:p w14:paraId="2353C9EB" w14:textId="77777777" w:rsidR="006034C2" w:rsidRPr="00030052" w:rsidRDefault="006034C2" w:rsidP="006034C2">
      <w:pPr>
        <w:spacing w:line="360" w:lineRule="auto"/>
        <w:jc w:val="center"/>
        <w:rPr>
          <w:rFonts w:eastAsia="Times New Roman" w:cs="Times New Roman"/>
          <w:b/>
          <w:iCs/>
          <w:kern w:val="0"/>
          <w:szCs w:val="24"/>
          <w:lang w:eastAsia="ar-SA"/>
          <w14:ligatures w14:val="none"/>
        </w:rPr>
      </w:pPr>
    </w:p>
    <w:p w14:paraId="6075FCE2" w14:textId="77777777" w:rsidR="006034C2" w:rsidRPr="00030052" w:rsidRDefault="006034C2" w:rsidP="006034C2">
      <w:pPr>
        <w:spacing w:line="360" w:lineRule="auto"/>
        <w:contextualSpacing/>
        <w:jc w:val="both"/>
        <w:rPr>
          <w:rFonts w:eastAsia="Times New Roman" w:cs="Times New Roman"/>
          <w:bCs/>
          <w:kern w:val="0"/>
          <w:szCs w:val="24"/>
          <w:lang w:eastAsia="hu-HU"/>
          <w14:ligatures w14:val="none"/>
        </w:rPr>
      </w:pPr>
      <w:r w:rsidRPr="00030052">
        <w:rPr>
          <w:rFonts w:eastAsia="Times New Roman" w:cs="Times New Roman"/>
          <w:bCs/>
          <w:iCs/>
          <w:kern w:val="0"/>
          <w:szCs w:val="24"/>
          <w:lang w:eastAsia="ar-SA"/>
          <w14:ligatures w14:val="none"/>
        </w:rPr>
        <w:t xml:space="preserve">Pályázati felhívásban meghatározott, a </w:t>
      </w: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bérleti jogviszony kezdetétől (bérleti szerződés teljeskörű aláírásának napjától) 2025. július 31. napjáig tartó időszakra vonatkozó </w:t>
      </w:r>
      <w:r w:rsidRPr="00030052">
        <w:rPr>
          <w:rFonts w:eastAsia="Times New Roman" w:cs="Times New Roman"/>
          <w:b/>
          <w:kern w:val="0"/>
          <w:szCs w:val="24"/>
          <w:lang w:eastAsia="hu-HU"/>
          <w14:ligatures w14:val="none"/>
        </w:rPr>
        <w:t>Bérleti díjra tett ajánlat ……………………..……… Ft + ÁFA</w:t>
      </w:r>
      <w:r w:rsidRPr="00030052">
        <w:rPr>
          <w:rFonts w:eastAsia="Times New Roman" w:cs="Times New Roman"/>
          <w:bCs/>
          <w:kern w:val="0"/>
          <w:szCs w:val="24"/>
          <w:lang w:eastAsia="hu-HU"/>
          <w14:ligatures w14:val="none"/>
        </w:rPr>
        <w:t xml:space="preserve">, </w:t>
      </w:r>
      <w:r w:rsidRPr="00030052">
        <w:rPr>
          <w:rFonts w:eastAsia="Times New Roman" w:cs="Times New Roman"/>
          <w:bCs/>
          <w:iCs/>
          <w:kern w:val="0"/>
          <w:szCs w:val="24"/>
          <w:lang w:eastAsia="ar-SA"/>
          <w14:ligatures w14:val="none"/>
        </w:rPr>
        <w:t>azaz ……………………………………………………………………forint plusz Á</w:t>
      </w:r>
      <w:r>
        <w:rPr>
          <w:rFonts w:eastAsia="Times New Roman" w:cs="Times New Roman"/>
          <w:bCs/>
          <w:iCs/>
          <w:kern w:val="0"/>
          <w:szCs w:val="24"/>
          <w:lang w:eastAsia="ar-SA"/>
          <w14:ligatures w14:val="none"/>
        </w:rPr>
        <w:t>FA</w:t>
      </w:r>
      <w:r w:rsidRPr="00030052">
        <w:rPr>
          <w:rFonts w:eastAsia="Times New Roman" w:cs="Times New Roman"/>
          <w:bCs/>
          <w:iCs/>
          <w:kern w:val="0"/>
          <w:szCs w:val="24"/>
          <w:lang w:eastAsia="ar-SA"/>
          <w14:ligatures w14:val="none"/>
        </w:rPr>
        <w:t>.</w:t>
      </w:r>
    </w:p>
    <w:p w14:paraId="29735301" w14:textId="77777777" w:rsidR="006034C2" w:rsidRPr="00030052" w:rsidRDefault="006034C2" w:rsidP="006034C2">
      <w:pPr>
        <w:spacing w:line="360" w:lineRule="auto"/>
        <w:jc w:val="center"/>
        <w:rPr>
          <w:rFonts w:eastAsia="Times New Roman" w:cs="Times New Roman"/>
          <w:bCs/>
          <w:iCs/>
          <w:kern w:val="0"/>
          <w:szCs w:val="24"/>
          <w:lang w:eastAsia="ar-SA"/>
          <w14:ligatures w14:val="none"/>
        </w:rPr>
      </w:pPr>
    </w:p>
    <w:p w14:paraId="48440C3A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  <w:t>Nyilatkozom, hogy a pályázati felhívásban és részletes pályázati kiírásban leírt valamennyi feltételt megismertem és megértettem, pályázati feltételeket elfogadom.</w:t>
      </w:r>
    </w:p>
    <w:p w14:paraId="7595F61E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</w:p>
    <w:p w14:paraId="150FD011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  <w:t>Nyilatkozom, hogy az ingatlant, a bérleményt mind a valóságban, mind a térképen megismertem.</w:t>
      </w:r>
    </w:p>
    <w:p w14:paraId="1AADD6B3" w14:textId="77777777" w:rsidR="006034C2" w:rsidRPr="00030052" w:rsidRDefault="006034C2" w:rsidP="006034C2">
      <w:pPr>
        <w:jc w:val="center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</w:p>
    <w:p w14:paraId="1A123F30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  <w:t>Nyilatkozom, hogy nincs köztartozásom.</w:t>
      </w:r>
    </w:p>
    <w:p w14:paraId="490EC3B8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</w:p>
    <w:p w14:paraId="567734EC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  <w:t xml:space="preserve">Nyilatkozom, hogy az önkormányzati tulajdonú </w:t>
      </w:r>
      <w:r w:rsidRPr="00030052">
        <w:rPr>
          <w:rFonts w:eastAsia="Times New Roman" w:cs="Times New Roman"/>
          <w:b/>
          <w:bCs/>
          <w:kern w:val="0"/>
          <w:sz w:val="22"/>
          <w:lang w:eastAsia="hu-HU"/>
          <w14:ligatures w14:val="none"/>
        </w:rPr>
        <w:t xml:space="preserve">ingatlan, illetve létesítmény bérbeadásával (a pályázat benyújtásával és a nyertes pályázóval való szerződéskötéssel) kapcsolatos adatkezeléshez </w:t>
      </w:r>
      <w:r w:rsidRPr="00030052"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  <w:t>készített Adatkezelési tájékoztatót megismertem.</w:t>
      </w:r>
    </w:p>
    <w:p w14:paraId="36361BB9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</w:p>
    <w:p w14:paraId="54D267D1" w14:textId="77777777" w:rsidR="006034C2" w:rsidRPr="00030052" w:rsidRDefault="006034C2" w:rsidP="006034C2">
      <w:pPr>
        <w:jc w:val="both"/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</w:pPr>
      <w:r w:rsidRPr="00030052">
        <w:rPr>
          <w:rFonts w:eastAsia="Times New Roman" w:cs="Times New Roman"/>
          <w:b/>
          <w:bCs/>
          <w:kern w:val="0"/>
          <w:sz w:val="22"/>
          <w:lang w:eastAsia="ar-SA"/>
          <w14:ligatures w14:val="none"/>
        </w:rPr>
        <w:t xml:space="preserve">Hozzájárulok ahhoz, hogy Székesfehérvár Megyei Jogú Város Önkormányzata a telefonszámomat az Adatkezelési tájékoztatóban rögzített módon a velem való kapcsolattartás céljából kezelje. </w:t>
      </w:r>
    </w:p>
    <w:p w14:paraId="26E58E13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4F883DE0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Székesfehérvár, 2024.……………………………..</w:t>
      </w:r>
    </w:p>
    <w:p w14:paraId="38BAA573" w14:textId="77777777" w:rsidR="006034C2" w:rsidRPr="00030052" w:rsidRDefault="006034C2" w:rsidP="006034C2">
      <w:pPr>
        <w:jc w:val="both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6B69F5E8" w14:textId="77777777" w:rsidR="006034C2" w:rsidRPr="00030052" w:rsidRDefault="006034C2" w:rsidP="006034C2">
      <w:pPr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57A54E31" w14:textId="3F9571F6" w:rsidR="006034C2" w:rsidRDefault="006034C2" w:rsidP="006034C2">
      <w:pPr>
        <w:ind w:left="5664" w:firstLine="708"/>
        <w:jc w:val="center"/>
      </w:pPr>
      <w:r w:rsidRPr="00030052">
        <w:rPr>
          <w:rFonts w:eastAsia="Times New Roman" w:cs="Times New Roman"/>
          <w:kern w:val="0"/>
          <w:szCs w:val="24"/>
          <w:lang w:eastAsia="ar-SA"/>
          <w14:ligatures w14:val="none"/>
        </w:rPr>
        <w:t>pályázó cégszerű aláírása</w:t>
      </w:r>
    </w:p>
    <w:sectPr w:rsidR="0060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C4085"/>
    <w:multiLevelType w:val="hybridMultilevel"/>
    <w:tmpl w:val="A964E68E"/>
    <w:lvl w:ilvl="0" w:tplc="29306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756"/>
    <w:multiLevelType w:val="hybridMultilevel"/>
    <w:tmpl w:val="9EEC6ABC"/>
    <w:lvl w:ilvl="0" w:tplc="1616C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1FB"/>
    <w:multiLevelType w:val="hybridMultilevel"/>
    <w:tmpl w:val="5A54DA9C"/>
    <w:lvl w:ilvl="0" w:tplc="9D7AF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0A3B"/>
    <w:multiLevelType w:val="hybridMultilevel"/>
    <w:tmpl w:val="9D5C457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5673A"/>
    <w:multiLevelType w:val="hybridMultilevel"/>
    <w:tmpl w:val="3E42F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55191"/>
    <w:multiLevelType w:val="hybridMultilevel"/>
    <w:tmpl w:val="C02022E4"/>
    <w:lvl w:ilvl="0" w:tplc="60E8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D29C1"/>
    <w:multiLevelType w:val="hybridMultilevel"/>
    <w:tmpl w:val="37C26CF8"/>
    <w:lvl w:ilvl="0" w:tplc="F6F6BC0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3315A"/>
    <w:multiLevelType w:val="hybridMultilevel"/>
    <w:tmpl w:val="00A87D98"/>
    <w:lvl w:ilvl="0" w:tplc="E7787888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1138C5"/>
    <w:multiLevelType w:val="hybridMultilevel"/>
    <w:tmpl w:val="16900A92"/>
    <w:lvl w:ilvl="0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3843554">
    <w:abstractNumId w:val="4"/>
  </w:num>
  <w:num w:numId="2" w16cid:durableId="2084720478">
    <w:abstractNumId w:val="2"/>
  </w:num>
  <w:num w:numId="3" w16cid:durableId="586304861">
    <w:abstractNumId w:val="0"/>
  </w:num>
  <w:num w:numId="4" w16cid:durableId="1895047641">
    <w:abstractNumId w:val="6"/>
  </w:num>
  <w:num w:numId="5" w16cid:durableId="740906474">
    <w:abstractNumId w:val="5"/>
  </w:num>
  <w:num w:numId="6" w16cid:durableId="1724862366">
    <w:abstractNumId w:val="1"/>
  </w:num>
  <w:num w:numId="7" w16cid:durableId="231932311">
    <w:abstractNumId w:val="8"/>
  </w:num>
  <w:num w:numId="8" w16cid:durableId="1089043920">
    <w:abstractNumId w:val="7"/>
  </w:num>
  <w:num w:numId="9" w16cid:durableId="950282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C2"/>
    <w:rsid w:val="00064B18"/>
    <w:rsid w:val="000D0E13"/>
    <w:rsid w:val="0026079B"/>
    <w:rsid w:val="0039597C"/>
    <w:rsid w:val="00595694"/>
    <w:rsid w:val="006034C2"/>
    <w:rsid w:val="009709EA"/>
    <w:rsid w:val="00B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D50C"/>
  <w15:chartTrackingRefBased/>
  <w15:docId w15:val="{A7C6BE23-F9A2-4838-BBC6-F4B36953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34C2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1474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Monostori Szilvia</dc:creator>
  <cp:keywords/>
  <dc:description/>
  <cp:lastModifiedBy>Tamás Müller</cp:lastModifiedBy>
  <cp:revision>2</cp:revision>
  <dcterms:created xsi:type="dcterms:W3CDTF">2024-06-28T12:09:00Z</dcterms:created>
  <dcterms:modified xsi:type="dcterms:W3CDTF">2024-06-28T12:09:00Z</dcterms:modified>
</cp:coreProperties>
</file>